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3B" w:rsidRPr="00271E58" w:rsidRDefault="00F33F3B" w:rsidP="00EC14C9">
      <w:pPr>
        <w:rPr>
          <w:rtl/>
          <w:lang w:bidi="ar-KW"/>
        </w:rPr>
      </w:pPr>
    </w:p>
    <w:tbl>
      <w:tblPr>
        <w:tblpPr w:leftFromText="180" w:rightFromText="180" w:vertAnchor="page" w:horzAnchor="margin" w:tblpY="36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33F3B" w:rsidTr="00E27803">
        <w:trPr>
          <w:trHeight w:val="983"/>
        </w:trPr>
        <w:tc>
          <w:tcPr>
            <w:tcW w:w="8613" w:type="dxa"/>
            <w:shd w:val="clear" w:color="auto" w:fill="auto"/>
          </w:tcPr>
          <w:p w:rsidR="00F33F3B" w:rsidRPr="006200A2" w:rsidRDefault="00F33F3B" w:rsidP="00E27803">
            <w:pPr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رمز </w:t>
            </w:r>
            <w:proofErr w:type="gramStart"/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الوحدة :</w:t>
            </w:r>
            <w:proofErr w:type="gramEnd"/>
            <w:r w:rsidR="00956EA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</w:p>
          <w:p w:rsidR="00F33F3B" w:rsidRDefault="00F33F3B" w:rsidP="00E27803">
            <w:pPr>
              <w:rPr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رقم مركز </w:t>
            </w:r>
            <w:proofErr w:type="gramStart"/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الوحدة :</w:t>
            </w:r>
            <w:proofErr w:type="gramEnd"/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                                                                                                    تبعية الوحدة: </w:t>
            </w:r>
            <w:r w:rsidR="00956EAF">
              <w:rPr>
                <w:rFonts w:hint="cs"/>
                <w:sz w:val="28"/>
                <w:szCs w:val="28"/>
                <w:rtl/>
                <w:lang w:bidi="ar-KW"/>
              </w:rPr>
              <w:t>نائب المدير العام للمواصفات و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الخدمات الصناعية</w:t>
            </w:r>
          </w:p>
          <w:p w:rsidR="00463627" w:rsidRPr="00463627" w:rsidRDefault="00463627" w:rsidP="00E27803">
            <w:pPr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463627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نطاق اشراف الوحدة:</w:t>
            </w:r>
          </w:p>
        </w:tc>
      </w:tr>
      <w:tr w:rsidR="00F33F3B" w:rsidTr="00E27803">
        <w:trPr>
          <w:trHeight w:val="983"/>
        </w:trPr>
        <w:tc>
          <w:tcPr>
            <w:tcW w:w="8613" w:type="dxa"/>
            <w:shd w:val="clear" w:color="auto" w:fill="auto"/>
          </w:tcPr>
          <w:p w:rsidR="00F33F3B" w:rsidRPr="006200A2" w:rsidRDefault="00F33F3B" w:rsidP="00CD3C69">
            <w:pPr>
              <w:jc w:val="both"/>
              <w:rPr>
                <w:sz w:val="28"/>
                <w:szCs w:val="28"/>
                <w:rtl/>
                <w:lang w:bidi="ar-KW"/>
              </w:rPr>
            </w:pPr>
            <w:proofErr w:type="gramStart"/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الاهداف :</w:t>
            </w:r>
            <w:proofErr w:type="gramEnd"/>
            <w:r w:rsidR="00956EA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CD3C69">
              <w:rPr>
                <w:rFonts w:hint="cs"/>
                <w:sz w:val="28"/>
                <w:szCs w:val="28"/>
                <w:rtl/>
                <w:lang w:bidi="ar-KW"/>
              </w:rPr>
              <w:t xml:space="preserve">يهدف قسم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 شؤون الاعتماد الى</w:t>
            </w:r>
            <w:r w:rsidRPr="006200A2">
              <w:rPr>
                <w:sz w:val="28"/>
                <w:szCs w:val="28"/>
                <w:lang w:bidi="ar-KW"/>
              </w:rPr>
              <w:t xml:space="preserve">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تخطيط وتنسيق ومتابعة كافة </w:t>
            </w:r>
            <w:r w:rsidR="0073253A">
              <w:rPr>
                <w:rFonts w:hint="cs"/>
                <w:sz w:val="28"/>
                <w:szCs w:val="28"/>
                <w:rtl/>
                <w:lang w:bidi="ar-KW"/>
              </w:rPr>
              <w:t>انشطة الاعتماد في دولة الكويت و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تعزيز الثقة في </w:t>
            </w:r>
            <w:r w:rsidR="00CD3C69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="00CD3C69"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كفاءة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جهات تقويم المطابقة لتسهيل عملية التبادل التجاري </w:t>
            </w:r>
            <w:r w:rsidR="00956EAF">
              <w:rPr>
                <w:rFonts w:hint="cs"/>
                <w:sz w:val="28"/>
                <w:szCs w:val="28"/>
                <w:rtl/>
                <w:lang w:bidi="ar-KW"/>
              </w:rPr>
              <w:t xml:space="preserve"> وذلك بهدف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الاعتراف </w:t>
            </w:r>
            <w:r w:rsidR="0073253A">
              <w:rPr>
                <w:rFonts w:hint="cs"/>
                <w:sz w:val="28"/>
                <w:szCs w:val="28"/>
                <w:rtl/>
                <w:lang w:bidi="ar-KW"/>
              </w:rPr>
              <w:t xml:space="preserve">الدولي المتبادل بين  جهات </w:t>
            </w:r>
            <w:r w:rsidR="00956EAF">
              <w:rPr>
                <w:rFonts w:hint="cs"/>
                <w:sz w:val="28"/>
                <w:szCs w:val="28"/>
                <w:rtl/>
                <w:lang w:bidi="ar-KW"/>
              </w:rPr>
              <w:t xml:space="preserve">منح </w:t>
            </w:r>
            <w:r w:rsidR="0073253A">
              <w:rPr>
                <w:rFonts w:hint="cs"/>
                <w:sz w:val="28"/>
                <w:szCs w:val="28"/>
                <w:rtl/>
                <w:lang w:bidi="ar-KW"/>
              </w:rPr>
              <w:t xml:space="preserve">شهادات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الاعتماد ومن ثم الاعتراف المتبادل بنت</w:t>
            </w:r>
            <w:r w:rsidR="00956EAF">
              <w:rPr>
                <w:rFonts w:hint="cs"/>
                <w:sz w:val="28"/>
                <w:szCs w:val="28"/>
                <w:rtl/>
                <w:lang w:bidi="ar-KW"/>
              </w:rPr>
              <w:t xml:space="preserve">ائج أعمال جهات تقويم المطابقة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وكذلك تعزيز قدرة دولة الكويت على المشاركة الفعلية اقليميا ودوليا في مجال الاعتماد.</w:t>
            </w:r>
          </w:p>
        </w:tc>
      </w:tr>
      <w:tr w:rsidR="00F33F3B" w:rsidTr="00E27803">
        <w:trPr>
          <w:trHeight w:val="4279"/>
        </w:trPr>
        <w:tc>
          <w:tcPr>
            <w:tcW w:w="8613" w:type="dxa"/>
            <w:shd w:val="clear" w:color="auto" w:fill="auto"/>
          </w:tcPr>
          <w:p w:rsidR="00F33F3B" w:rsidRPr="006200A2" w:rsidRDefault="00F33F3B" w:rsidP="00E27803">
            <w:pPr>
              <w:jc w:val="both"/>
              <w:rPr>
                <w:b/>
                <w:bCs/>
                <w:sz w:val="28"/>
                <w:szCs w:val="28"/>
                <w:rtl/>
                <w:lang w:bidi="ar-KW"/>
              </w:rPr>
            </w:pPr>
            <w:proofErr w:type="gramStart"/>
            <w:r w:rsidRPr="006200A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الاختصاصات :</w:t>
            </w:r>
            <w:proofErr w:type="gramEnd"/>
          </w:p>
          <w:p w:rsidR="00E128D2" w:rsidRDefault="00F33F3B" w:rsidP="00F33F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متابعة وتنسيق جميع الانشطة ذات الصلة بالاعتماد وتكون حلقة الوصل بين جهات الاعتماد الوطنية الاخرى والاقليمية والعالمية وجهات تقويم المطابقة. </w:t>
            </w:r>
          </w:p>
          <w:p w:rsidR="00F33F3B" w:rsidRPr="006200A2" w:rsidRDefault="00F33F3B" w:rsidP="00956E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المشاركة في وضع التدابير اللازمة لضمان اعتما</w:t>
            </w:r>
            <w:r w:rsidR="00956EAF">
              <w:rPr>
                <w:rFonts w:hint="cs"/>
                <w:sz w:val="28"/>
                <w:szCs w:val="28"/>
                <w:rtl/>
                <w:lang w:bidi="ar-KW"/>
              </w:rPr>
              <w:t>د الجهات ذات التأثير على الصحة و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السلامة العامة بالتنسيق مع الج</w:t>
            </w:r>
            <w:r w:rsidR="00A579E9">
              <w:rPr>
                <w:rFonts w:hint="cs"/>
                <w:sz w:val="28"/>
                <w:szCs w:val="28"/>
                <w:rtl/>
                <w:lang w:bidi="ar-KW"/>
              </w:rPr>
              <w:t>ـ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هات</w:t>
            </w:r>
            <w:r w:rsidR="00A579E9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ذات العلاقة.</w:t>
            </w:r>
          </w:p>
          <w:p w:rsidR="00F33F3B" w:rsidRDefault="00F33F3B" w:rsidP="007F1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الاشراف على اختيار التخطيط للاحتياجات التدريبية للمقي</w:t>
            </w:r>
            <w:r w:rsidR="00A579E9">
              <w:rPr>
                <w:rFonts w:ascii="Arial" w:hAnsi="Arial"/>
                <w:sz w:val="28"/>
                <w:szCs w:val="28"/>
                <w:rtl/>
                <w:lang w:bidi="ar-KW"/>
              </w:rPr>
              <w:t>ّ</w:t>
            </w:r>
            <w:r w:rsidR="007F1973">
              <w:rPr>
                <w:rFonts w:hint="cs"/>
                <w:sz w:val="28"/>
                <w:szCs w:val="28"/>
                <w:rtl/>
                <w:lang w:bidi="ar-KW"/>
              </w:rPr>
              <w:t>مين (المدققين) وفقا لمعاير</w:t>
            </w:r>
            <w:r w:rsidR="00937A3D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محددة لضمان ملاءمتهم للقيام بعمليات تقويم </w:t>
            </w:r>
            <w:r w:rsidR="007F1973">
              <w:rPr>
                <w:rFonts w:hint="cs"/>
                <w:sz w:val="28"/>
                <w:szCs w:val="28"/>
                <w:rtl/>
                <w:lang w:bidi="ar-KW"/>
              </w:rPr>
              <w:t>ال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مختبرات وجهات التفتيش وجهات منح الشهادات.</w:t>
            </w:r>
          </w:p>
          <w:p w:rsidR="000277C6" w:rsidRPr="006200A2" w:rsidRDefault="000277C6" w:rsidP="007F1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>الإشراف على ومراقبة تنفيذ برامج التقييم الدوري على جهات تقويم المطابقة المعتمدة.</w:t>
            </w:r>
          </w:p>
          <w:p w:rsidR="00F33F3B" w:rsidRPr="006200A2" w:rsidRDefault="00F33F3B" w:rsidP="00F33F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اتخاذ الاجراءات والتدابير اللازمة بحق المخالفين للقوانين واللوائح والمعايير المتعلقة بمتطلبات الاعتماد</w:t>
            </w:r>
            <w:r w:rsidR="000277C6">
              <w:rPr>
                <w:rFonts w:hint="cs"/>
                <w:sz w:val="28"/>
                <w:szCs w:val="28"/>
                <w:rtl/>
                <w:lang w:bidi="ar-KW"/>
              </w:rPr>
              <w:t xml:space="preserve"> وفقا للأنظمة المعتمدة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.</w:t>
            </w:r>
          </w:p>
          <w:p w:rsidR="00F33F3B" w:rsidRPr="006200A2" w:rsidRDefault="00F33F3B" w:rsidP="00F33F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المشاركة في دراسة الط</w:t>
            </w:r>
            <w:bookmarkStart w:id="0" w:name="_GoBack"/>
            <w:bookmarkEnd w:id="0"/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عون والتظلمات </w:t>
            </w:r>
            <w:r w:rsidR="003A2284" w:rsidRPr="006200A2">
              <w:rPr>
                <w:rFonts w:hint="cs"/>
                <w:sz w:val="28"/>
                <w:szCs w:val="28"/>
                <w:rtl/>
                <w:lang w:bidi="ar-KW"/>
              </w:rPr>
              <w:t>والشكاوى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 التي يتم استلامها من جهات تقويم المطابقة بخصوص قرارات الاعتماد التي تتخذها جهات الاعتماد.</w:t>
            </w:r>
          </w:p>
          <w:p w:rsidR="00F33F3B" w:rsidRPr="006200A2" w:rsidRDefault="00F33F3B" w:rsidP="003A22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القيام بالأنشطة والاجراءات اللازمة للحصول على </w:t>
            </w:r>
            <w:r w:rsidR="003A2284">
              <w:rPr>
                <w:rFonts w:hint="cs"/>
                <w:sz w:val="28"/>
                <w:szCs w:val="28"/>
                <w:rtl/>
                <w:lang w:bidi="ar-KW"/>
              </w:rPr>
              <w:t>الاعتراف الدولي من خلال اعداد مذكرات التفاهم واتفاقيات الاعتراف المتعددة الأطراف مع المنظمات ذات العلاقة.</w:t>
            </w:r>
          </w:p>
          <w:p w:rsidR="00F33F3B" w:rsidRPr="006200A2" w:rsidRDefault="00F33F3B" w:rsidP="00A579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المشاركة في تخطيط وتنفيذ برامج اختبارات الكفاءة </w:t>
            </w:r>
            <w:r w:rsidR="00A579E9" w:rsidRPr="006200A2">
              <w:rPr>
                <w:rFonts w:hint="cs"/>
                <w:sz w:val="28"/>
                <w:szCs w:val="28"/>
                <w:rtl/>
                <w:lang w:bidi="ar-KW"/>
              </w:rPr>
              <w:t>والمهار</w:t>
            </w:r>
            <w:r w:rsidR="00A579E9">
              <w:rPr>
                <w:rFonts w:hint="cs"/>
                <w:sz w:val="28"/>
                <w:szCs w:val="28"/>
                <w:rtl/>
                <w:lang w:bidi="ar-KW"/>
              </w:rPr>
              <w:t>ة الدولية</w:t>
            </w:r>
            <w:r w:rsidR="00A579E9"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للمختبرات المعتمدة او المتوجهة للاعتماد.</w:t>
            </w:r>
          </w:p>
          <w:p w:rsidR="00F33F3B" w:rsidRPr="006200A2" w:rsidRDefault="00F33F3B" w:rsidP="00F33F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  <w:rtl/>
                <w:lang w:bidi="ar-KW"/>
              </w:rPr>
            </w:pP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الاشراف على اعداد وتطوير وتحديث </w:t>
            </w:r>
            <w:r w:rsidR="00CD3C69">
              <w:rPr>
                <w:rFonts w:hint="cs"/>
                <w:sz w:val="28"/>
                <w:szCs w:val="28"/>
                <w:rtl/>
                <w:lang w:bidi="ar-KW"/>
              </w:rPr>
              <w:t xml:space="preserve">وإصدار 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>المتطلبات واللوائح والادلة والمعايير التخصصية المتعلقة بتقويم ومنح شهادات الاعتماد لجهات تقويم المطابقة من: مخت</w:t>
            </w:r>
            <w:r w:rsidR="007A0F2E">
              <w:rPr>
                <w:rFonts w:hint="cs"/>
                <w:sz w:val="28"/>
                <w:szCs w:val="28"/>
                <w:rtl/>
                <w:lang w:bidi="ar-KW"/>
              </w:rPr>
              <w:t>برات الاختبار والمعايرة و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جهات التفتيش وجهات منح </w:t>
            </w:r>
            <w:r w:rsidR="007A0F2E" w:rsidRPr="006200A2">
              <w:rPr>
                <w:rFonts w:hint="cs"/>
                <w:sz w:val="28"/>
                <w:szCs w:val="28"/>
                <w:rtl/>
                <w:lang w:bidi="ar-KW"/>
              </w:rPr>
              <w:t>شهادات الأفراد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 وجهات منح </w:t>
            </w:r>
            <w:r w:rsidR="007A0F2E" w:rsidRPr="006200A2">
              <w:rPr>
                <w:rFonts w:hint="cs"/>
                <w:sz w:val="28"/>
                <w:szCs w:val="28"/>
                <w:rtl/>
                <w:lang w:bidi="ar-KW"/>
              </w:rPr>
              <w:t>شهادات المطابقة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 للمنتجات وجهات منح شهادات نظم الادارة وفقا </w:t>
            </w:r>
            <w:r w:rsidR="007A0F2E" w:rsidRPr="006200A2">
              <w:rPr>
                <w:rFonts w:hint="cs"/>
                <w:sz w:val="28"/>
                <w:szCs w:val="28"/>
                <w:rtl/>
                <w:lang w:bidi="ar-KW"/>
              </w:rPr>
              <w:t>لأحدث المواصفات</w:t>
            </w:r>
            <w:r w:rsidRPr="006200A2">
              <w:rPr>
                <w:rFonts w:hint="cs"/>
                <w:sz w:val="28"/>
                <w:szCs w:val="28"/>
                <w:rtl/>
                <w:lang w:bidi="ar-KW"/>
              </w:rPr>
              <w:t xml:space="preserve"> والممارسات العالمية.</w:t>
            </w:r>
          </w:p>
        </w:tc>
      </w:tr>
    </w:tbl>
    <w:p w:rsidR="00F33F3B" w:rsidRDefault="00F33F3B" w:rsidP="00F33F3B">
      <w:pPr>
        <w:rPr>
          <w:lang w:bidi="ar-KW"/>
        </w:rPr>
      </w:pPr>
    </w:p>
    <w:p w:rsidR="00F33F3B" w:rsidRDefault="00F33F3B" w:rsidP="00F33F3B">
      <w:pPr>
        <w:jc w:val="lowKashida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الهيئة العامة للصناعة</w:t>
      </w:r>
    </w:p>
    <w:p w:rsidR="00F33F3B" w:rsidRDefault="00F33F3B" w:rsidP="00F33F3B">
      <w:pPr>
        <w:jc w:val="center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بطاقة اختصاصات</w:t>
      </w:r>
    </w:p>
    <w:p w:rsidR="00F33F3B" w:rsidRDefault="00F33F3B" w:rsidP="007E16DF">
      <w:pPr>
        <w:jc w:val="center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الوحدة </w:t>
      </w:r>
      <w:r w:rsidR="00463627">
        <w:rPr>
          <w:rFonts w:hint="cs"/>
          <w:b/>
          <w:bCs/>
          <w:sz w:val="28"/>
          <w:szCs w:val="28"/>
          <w:rtl/>
          <w:lang w:bidi="ar-KW"/>
        </w:rPr>
        <w:t>التنظيمية: قسم</w:t>
      </w:r>
      <w:r w:rsidR="00CD3C69"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شؤون الاعتماد</w:t>
      </w:r>
    </w:p>
    <w:p w:rsidR="00C15C84" w:rsidRDefault="00C15C84">
      <w:pPr>
        <w:rPr>
          <w:lang w:bidi="ar-KW"/>
        </w:rPr>
      </w:pPr>
    </w:p>
    <w:sectPr w:rsidR="00C15C84" w:rsidSect="006A3E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C1116"/>
    <w:multiLevelType w:val="hybridMultilevel"/>
    <w:tmpl w:val="5FCA2ADC"/>
    <w:lvl w:ilvl="0" w:tplc="2F82DCC0">
      <w:start w:val="1"/>
      <w:numFmt w:val="bullet"/>
      <w:lvlText w:val="-"/>
      <w:lvlJc w:val="left"/>
      <w:pPr>
        <w:tabs>
          <w:tab w:val="num" w:pos="1410"/>
        </w:tabs>
        <w:ind w:left="1410" w:right="141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30"/>
        </w:tabs>
        <w:ind w:left="2130" w:right="213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50"/>
        </w:tabs>
        <w:ind w:left="2850" w:right="28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570"/>
        </w:tabs>
        <w:ind w:left="3570" w:right="35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290"/>
        </w:tabs>
        <w:ind w:left="4290" w:right="42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10"/>
        </w:tabs>
        <w:ind w:left="5010" w:right="50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30"/>
        </w:tabs>
        <w:ind w:left="5730" w:right="57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50"/>
        </w:tabs>
        <w:ind w:left="6450" w:right="64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170"/>
        </w:tabs>
        <w:ind w:left="7170" w:right="7170" w:hanging="360"/>
      </w:pPr>
      <w:rPr>
        <w:rFonts w:ascii="Wingdings" w:hAnsi="Wingdings" w:hint="default"/>
      </w:rPr>
    </w:lvl>
  </w:abstractNum>
  <w:abstractNum w:abstractNumId="1">
    <w:nsid w:val="388A33A8"/>
    <w:multiLevelType w:val="hybridMultilevel"/>
    <w:tmpl w:val="3FDE83AE"/>
    <w:lvl w:ilvl="0" w:tplc="15025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BE"/>
    <w:rsid w:val="000277C6"/>
    <w:rsid w:val="00163ECC"/>
    <w:rsid w:val="002C38BE"/>
    <w:rsid w:val="003A2284"/>
    <w:rsid w:val="004410DE"/>
    <w:rsid w:val="00463627"/>
    <w:rsid w:val="004A035E"/>
    <w:rsid w:val="005D522C"/>
    <w:rsid w:val="005F2A1D"/>
    <w:rsid w:val="006A3EC1"/>
    <w:rsid w:val="0073253A"/>
    <w:rsid w:val="007A0F2E"/>
    <w:rsid w:val="007E16DF"/>
    <w:rsid w:val="007F1973"/>
    <w:rsid w:val="00937A3D"/>
    <w:rsid w:val="00956EAF"/>
    <w:rsid w:val="00A579E9"/>
    <w:rsid w:val="00AE157B"/>
    <w:rsid w:val="00C15C84"/>
    <w:rsid w:val="00CD3C69"/>
    <w:rsid w:val="00D22981"/>
    <w:rsid w:val="00D44F61"/>
    <w:rsid w:val="00E128D2"/>
    <w:rsid w:val="00EC14C9"/>
    <w:rsid w:val="00EE6B80"/>
    <w:rsid w:val="00F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ECB2A9-3144-4D1F-A724-D0905D5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3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معصومة أكبر</dc:creator>
  <cp:keywords/>
  <dc:description/>
  <cp:lastModifiedBy>معصومة أكبر</cp:lastModifiedBy>
  <cp:revision>9</cp:revision>
  <cp:lastPrinted>2013-05-08T06:16:00Z</cp:lastPrinted>
  <dcterms:created xsi:type="dcterms:W3CDTF">2016-05-30T05:48:00Z</dcterms:created>
  <dcterms:modified xsi:type="dcterms:W3CDTF">2016-05-30T06:02:00Z</dcterms:modified>
</cp:coreProperties>
</file>